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ASolid Revenue Release，</w:t>
      </w:r>
      <w:r>
        <w:rPr>
          <w:rFonts w:hint="eastAsia"/>
          <w:sz w:val="36"/>
          <w:szCs w:val="36"/>
          <w:lang w:val="en-US" w:eastAsia="zh-CN"/>
        </w:rPr>
        <w:t>July</w:t>
      </w:r>
      <w:r>
        <w:rPr>
          <w:rFonts w:hint="eastAsia"/>
          <w:sz w:val="36"/>
          <w:szCs w:val="36"/>
        </w:rPr>
        <w:t xml:space="preserve"> 201</w:t>
      </w:r>
      <w:r>
        <w:rPr>
          <w:rFonts w:hint="eastAsia"/>
          <w:sz w:val="36"/>
          <w:szCs w:val="36"/>
          <w:lang w:val="en-US" w:eastAsia="zh-CN"/>
        </w:rPr>
        <w:t>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99,887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612,672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65,315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380,433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34,572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232,239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52.93%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61.05%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03AF"/>
    <w:rsid w:val="390C03AF"/>
    <w:rsid w:val="4B27330B"/>
    <w:rsid w:val="64594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2018-06-12T09:18:00Z</dcterms:created>
  <dc:creator>wendy</dc:creator>
  <cp:lastModifiedBy>wendy</cp:lastModifiedBy>
  <dcterms:modified xsi:type="dcterms:W3CDTF">2018-08-16T09:21:41Z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