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D5" w:rsidRPr="000B51A9" w:rsidRDefault="00E5741E" w:rsidP="00F12DD5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E5741E">
        <w:rPr>
          <w:sz w:val="28"/>
          <w:szCs w:val="28"/>
        </w:rPr>
        <w:t>A-DATA</w:t>
      </w:r>
      <w:r w:rsidR="00F12DD5" w:rsidRPr="00E5741E">
        <w:rPr>
          <w:sz w:val="28"/>
          <w:szCs w:val="28"/>
        </w:rPr>
        <w:t xml:space="preserve"> </w:t>
      </w:r>
      <w:r w:rsidR="00F12DD5"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 w:rsidR="00F12DD5">
        <w:rPr>
          <w:rFonts w:ascii="宋体" w:hAnsi="宋体" w:cs="宋体" w:hint="eastAsia"/>
          <w:kern w:val="0"/>
          <w:sz w:val="32"/>
          <w:szCs w:val="32"/>
        </w:rPr>
        <w:t>，</w:t>
      </w:r>
      <w:r w:rsidR="00F12DD5" w:rsidRPr="00E1509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F12DD5">
        <w:rPr>
          <w:sz w:val="32"/>
          <w:szCs w:val="32"/>
        </w:rPr>
        <w:t>Ju</w:t>
      </w:r>
      <w:r w:rsidR="00F12DD5">
        <w:rPr>
          <w:rFonts w:hint="eastAsia"/>
          <w:sz w:val="32"/>
          <w:szCs w:val="32"/>
        </w:rPr>
        <w:t>ly</w:t>
      </w:r>
      <w:r w:rsidR="00F12DD5" w:rsidRPr="00E15090">
        <w:rPr>
          <w:rFonts w:hint="eastAsia"/>
          <w:sz w:val="32"/>
          <w:szCs w:val="32"/>
        </w:rPr>
        <w:t xml:space="preserve"> </w:t>
      </w:r>
      <w:r w:rsidR="00F12DD5"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="00F12DD5"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F12DD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      </w:t>
      </w:r>
      <w:r w:rsidR="00F12DD5" w:rsidRPr="00FF60B1">
        <w:rPr>
          <w:sz w:val="28"/>
          <w:szCs w:val="28"/>
        </w:rPr>
        <w:t>N.T</w:t>
      </w:r>
      <w:r w:rsidR="00F12DD5" w:rsidRPr="00FF60B1">
        <w:rPr>
          <w:rStyle w:val="a5"/>
          <w:rFonts w:hint="eastAsia"/>
          <w:sz w:val="28"/>
          <w:szCs w:val="28"/>
        </w:rPr>
        <w:t xml:space="preserve"> </w:t>
      </w:r>
      <w:r w:rsidR="00F12DD5" w:rsidRPr="00FF60B1">
        <w:rPr>
          <w:rStyle w:val="a5"/>
          <w:sz w:val="28"/>
          <w:szCs w:val="28"/>
        </w:rPr>
        <w:t xml:space="preserve"> </w:t>
      </w:r>
      <w:r w:rsidR="00F12DD5"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F12DD5" w:rsidRPr="00555CE5" w:rsidTr="00DD193A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555CE5" w:rsidRDefault="00F12DD5" w:rsidP="00DD193A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FF60B1" w:rsidRDefault="00F12DD5" w:rsidP="00DD193A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FF60B1" w:rsidRDefault="00F12DD5" w:rsidP="00DD193A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F12DD5" w:rsidRPr="00555CE5" w:rsidTr="00DD193A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FF60B1" w:rsidRDefault="00F12DD5" w:rsidP="00DD193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2,145,549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17,151,225</w:t>
            </w:r>
          </w:p>
        </w:tc>
      </w:tr>
      <w:tr w:rsidR="00F12DD5" w:rsidRPr="00555CE5" w:rsidTr="00DD193A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FF60B1" w:rsidRDefault="00F12DD5" w:rsidP="00DD193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3,538,383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25,788,322</w:t>
            </w:r>
          </w:p>
        </w:tc>
      </w:tr>
      <w:tr w:rsidR="00F12DD5" w:rsidRPr="00555CE5" w:rsidTr="00DD193A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FF60B1" w:rsidRDefault="00F12DD5" w:rsidP="00DD193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-1,392,834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-8,637,097</w:t>
            </w:r>
          </w:p>
        </w:tc>
      </w:tr>
      <w:tr w:rsidR="00F12DD5" w:rsidRPr="00555CE5" w:rsidTr="00DD193A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FF60B1" w:rsidRDefault="00F12DD5" w:rsidP="00DD193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-39.36%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5" w:rsidRPr="00E87800" w:rsidRDefault="00F12DD5" w:rsidP="00DD193A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-33.49%</w:t>
            </w:r>
          </w:p>
        </w:tc>
      </w:tr>
    </w:tbl>
    <w:p w:rsidR="002B6722" w:rsidRDefault="002B6722"/>
    <w:sectPr w:rsidR="002B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22" w:rsidRDefault="002B6722" w:rsidP="00F12DD5">
      <w:r>
        <w:separator/>
      </w:r>
    </w:p>
  </w:endnote>
  <w:endnote w:type="continuationSeparator" w:id="1">
    <w:p w:rsidR="002B6722" w:rsidRDefault="002B6722" w:rsidP="00F1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22" w:rsidRDefault="002B6722" w:rsidP="00F12DD5">
      <w:r>
        <w:separator/>
      </w:r>
    </w:p>
  </w:footnote>
  <w:footnote w:type="continuationSeparator" w:id="1">
    <w:p w:rsidR="002B6722" w:rsidRDefault="002B6722" w:rsidP="00F12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DD5"/>
    <w:rsid w:val="001A3179"/>
    <w:rsid w:val="002B6722"/>
    <w:rsid w:val="0052146C"/>
    <w:rsid w:val="00E5741E"/>
    <w:rsid w:val="00F1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D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DD5"/>
    <w:rPr>
      <w:sz w:val="18"/>
      <w:szCs w:val="18"/>
    </w:rPr>
  </w:style>
  <w:style w:type="character" w:styleId="a5">
    <w:name w:val="Strong"/>
    <w:basedOn w:val="a0"/>
    <w:qFormat/>
    <w:rsid w:val="00F12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ChinaFlashMarket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8</cp:revision>
  <dcterms:created xsi:type="dcterms:W3CDTF">2011-08-08T02:34:00Z</dcterms:created>
  <dcterms:modified xsi:type="dcterms:W3CDTF">2011-08-08T02:36:00Z</dcterms:modified>
</cp:coreProperties>
</file>